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Утверждаю: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Директор ООО “НАГ”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___________Самоделко Д.Г.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___________________2017г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Методика тестирования 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Бензиновых генераторов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Екатеринбург </w:t>
      </w:r>
    </w:p>
    <w:p w:rsidR="00000000" w:rsidDel="00000000" w:rsidP="00000000" w:rsidRDefault="00000000" w:rsidRPr="00000000" w14:paraId="0000002A">
      <w:pPr>
        <w:ind w:left="-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2017г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3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началом испытаний необходимо ознакомиться со всей документацией предоставленной на оборудование, в случае отсутствия, запросить информацию у производителя.</w:t>
      </w:r>
    </w:p>
    <w:p w:rsidR="00000000" w:rsidDel="00000000" w:rsidP="00000000" w:rsidRDefault="00000000" w:rsidRPr="00000000" w14:paraId="0000002C">
      <w:pPr>
        <w:ind w:left="-3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Далее необходимо провести визуальный осмотр оборудования на предмет наличия повреждений.</w:t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Проверка проводится за пределами складского терминала, либо в специальном помещении, предназначенном для проверки бензиновых генераторов.</w:t>
      </w:r>
    </w:p>
    <w:p w:rsidR="00000000" w:rsidDel="00000000" w:rsidP="00000000" w:rsidRDefault="00000000" w:rsidRPr="00000000" w14:paraId="0000002F">
      <w:pPr>
        <w:pStyle w:val="Heading2"/>
        <w:jc w:val="both"/>
        <w:rPr>
          <w:b w:val="1"/>
          <w:sz w:val="28"/>
          <w:szCs w:val="28"/>
        </w:rPr>
      </w:pPr>
      <w:bookmarkStart w:colFirst="0" w:colLast="0" w:name="_w9wuldajj095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1. Список необходимого.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Бензин АИ92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Масло (</w:t>
      </w:r>
      <w:r w:rsidDel="00000000" w:rsidR="00000000" w:rsidRPr="00000000">
        <w:rPr>
          <w:sz w:val="24"/>
          <w:szCs w:val="24"/>
          <w:rtl w:val="0"/>
        </w:rPr>
        <w:t xml:space="preserve">Класс SAE: 10W30; 10W40)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Нагрузка (тепловентиляторы, реостат)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jc w:val="both"/>
        <w:rPr>
          <w:sz w:val="24"/>
          <w:szCs w:val="24"/>
        </w:rPr>
      </w:pPr>
      <w:bookmarkStart w:colFirst="0" w:colLast="0" w:name="_hpshojfzqfls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2. Список действий.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Проверяем состояние АКБ. Напряжение должно быть выше 12.5В. Если напряжение ниже, то необходимо произвести подзарядку АКБ либо замену.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Проверяем уровень масла. Откручиваем заливную горловину для масла (10)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752725" cy="230505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305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уровень масла должен соответствовать средней отметке измерительного щупа (между верхней и нижней границей).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Заливаем бензин в объеме 2-х литров, так чтобы дно бензобака было полностью заполнено. Открываем кран подачи топлива.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Производим запуск генератора, поворотом стартерного ключа в положение “старт”. В процессе запуска могут возникнуть сложности, для решения которых можно предпринять следующие действия: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Необходимо выдвинуть воздушную заслонку(6) и повторить запуск. Длительность вращения стартера не должна превышать 15сек.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Необходимо проверить свечу зажигания: выкручиваем, осматриваем внешнее состояние, прикладываем к корпусу двигателя и пробуем прокрутить стартер, свеча должна пропускать разряд. Если этого не происходит то следует заменить свечу.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Передать устройство в авторизованный сервисный центр.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Производим проверку с нагрузкой, используя специальный нагрузочный стенд. Если при включении максимальной разрешенной нагрузки, обороты сильно падают и напряжение на выходе опускается до 200В и ниже, то необходимо отрегулировать обороты, при помощи специального винта, расположенного на корпусе двигателя либо при помощи специального рычага.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Генератор должен отработать с нагрузкой 15-20 мин, при этом необходимо наблюдать за отсутствием\наличием отклонений в работе.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" w:right="0" w:hanging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После успешной проверки, необходимо слить все не отработанные ГСМ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Методику подготовил: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Ведущий инженер технического отдела                                               Нохрин А.Н. </w:t>
      </w:r>
    </w:p>
    <w:sectPr>
      <w:headerReference r:id="rId7" w:type="default"/>
      <w:footerReference r:id="rId8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/>
      <w:drawing>
        <wp:inline distB="114300" distT="114300" distL="114300" distR="114300">
          <wp:extent cx="5734050" cy="9525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/>
    </w:pPr>
    <w:r w:rsidDel="00000000" w:rsidR="00000000" w:rsidRPr="00000000">
      <w:rPr/>
      <w:drawing>
        <wp:inline distB="114300" distT="114300" distL="114300" distR="114300">
          <wp:extent cx="5734050" cy="952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